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rPr>
          <w:b/>
          <w:bCs/>
          <w:iCs/>
          <w:color w:val="000000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4697095</wp:posOffset>
                </wp:positionH>
                <wp:positionV relativeFrom="paragraph">
                  <wp:posOffset>127635</wp:posOffset>
                </wp:positionV>
                <wp:extent cx="1377950" cy="118173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377950" cy="1181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24288;o:allowoverlap:true;o:allowincell:true;mso-position-horizontal-relative:text;margin-left:369.8pt;mso-position-horizontal:absolute;mso-position-vertical-relative:text;margin-top:10.0pt;mso-position-vertical:absolute;width:108.5pt;height:93.0pt;" coordsize="100000,100000" path="" filled="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Cs/>
          <w:color w:val="000000"/>
        </w:rPr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rFonts w:ascii="Arial" w:hAnsi="Arial" w:eastAsia="Calibri"/>
          <w:i/>
          <w:color w:val="000000"/>
          <w:sz w:val="18"/>
          <w:szCs w:val="1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3415" cy="617151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13415" cy="6171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4pt;height:48.6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bCs/>
          <w:iCs/>
          <w:color w:val="000000"/>
        </w:rPr>
        <w:t xml:space="preserve">                                        </w:t>
      </w:r>
      <w:r/>
    </w:p>
    <w:p>
      <w:pPr>
        <w:pStyle w:val="623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623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РОССИЙСКАЯ ФЕДЕРАЦИЯ           </w:t>
      </w:r>
      <w:r/>
    </w:p>
    <w:p>
      <w:pPr>
        <w:pStyle w:val="623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БЕЛГОРОДСКАЯ ОБЛАСТЬ</w:t>
      </w:r>
      <w:r/>
    </w:p>
    <w:p>
      <w:pPr>
        <w:pStyle w:val="623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СОВЕТ ДЕПУТАТОВ</w:t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НОВООСКОЛЬСКОГО </w:t>
      </w:r>
      <w:r>
        <w:rPr>
          <w:b/>
          <w:bCs/>
          <w:iCs/>
          <w:color w:val="000000"/>
        </w:rPr>
        <w:t xml:space="preserve">МУНИЦИПАЛЬН</w:t>
      </w:r>
      <w:r>
        <w:rPr>
          <w:b/>
          <w:bCs/>
          <w:iCs/>
          <w:color w:val="000000"/>
        </w:rPr>
        <w:t xml:space="preserve">ОГО ОКРУГА</w:t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  <w:r/>
    </w:p>
    <w:p>
      <w:pPr>
        <w:pStyle w:val="623"/>
        <w:jc w:val="center"/>
        <w:rPr>
          <w:bCs/>
          <w:iCs/>
          <w:color w:val="000000"/>
          <w:sz w:val="20"/>
          <w:szCs w:val="20"/>
        </w:rPr>
      </w:pPr>
      <w:r>
        <w:rPr>
          <w:bCs/>
          <w:iCs/>
          <w:color w:val="000000"/>
          <w:sz w:val="20"/>
          <w:szCs w:val="20"/>
        </w:rPr>
        <w:t xml:space="preserve">Сорок шестое  заседание Совета депутатов Новооскольского </w:t>
      </w:r>
      <w:r>
        <w:rPr>
          <w:bCs/>
          <w:iCs/>
          <w:color w:val="000000"/>
          <w:sz w:val="20"/>
          <w:szCs w:val="20"/>
        </w:rPr>
        <w:t xml:space="preserve">муниципальн</w:t>
      </w:r>
      <w:r>
        <w:rPr>
          <w:bCs/>
          <w:iCs/>
          <w:color w:val="000000"/>
          <w:sz w:val="20"/>
          <w:szCs w:val="20"/>
        </w:rPr>
        <w:t xml:space="preserve">ого округа Белгородской области</w:t>
      </w:r>
      <w:r>
        <w:rPr>
          <w:bCs/>
          <w:iCs/>
          <w:color w:val="000000"/>
          <w:sz w:val="20"/>
          <w:szCs w:val="20"/>
        </w:rPr>
        <w:t xml:space="preserve"> </w:t>
      </w:r>
      <w:r>
        <w:rPr>
          <w:bCs/>
          <w:iCs/>
          <w:color w:val="000000"/>
          <w:sz w:val="20"/>
          <w:szCs w:val="20"/>
        </w:rPr>
        <w:t xml:space="preserve">второго</w:t>
      </w:r>
      <w:r>
        <w:rPr>
          <w:bCs/>
          <w:iCs/>
          <w:color w:val="000000"/>
          <w:sz w:val="20"/>
          <w:szCs w:val="20"/>
        </w:rPr>
        <w:t xml:space="preserve"> созыва</w:t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  <w:r/>
    </w:p>
    <w:p>
      <w:pPr>
        <w:pStyle w:val="623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Р Е Ш Е Н И Е</w:t>
      </w:r>
      <w:r/>
    </w:p>
    <w:p>
      <w:pPr>
        <w:pStyle w:val="623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</w:r>
      <w:r/>
    </w:p>
    <w:p>
      <w:pPr>
        <w:pStyle w:val="623"/>
        <w:jc w:val="center"/>
        <w:rPr>
          <w:bCs/>
          <w:iCs/>
          <w:color w:val="000000"/>
          <w:sz w:val="26"/>
          <w:szCs w:val="26"/>
        </w:rPr>
      </w:pPr>
      <w:r>
        <w:rPr>
          <w:bCs/>
          <w:iCs/>
          <w:color w:val="000000"/>
          <w:sz w:val="26"/>
          <w:szCs w:val="26"/>
        </w:rPr>
        <w:t xml:space="preserve">26 мая 2026  года                                                                                                           № 562</w:t>
      </w:r>
      <w:r/>
    </w:p>
    <w:p>
      <w:pPr>
        <w:pStyle w:val="623"/>
        <w:tabs>
          <w:tab w:val="left" w:pos="449" w:leader="none"/>
        </w:tabs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  <w:tab/>
      </w:r>
      <w:r/>
    </w:p>
    <w:p>
      <w:pPr>
        <w:pStyle w:val="623"/>
        <w:jc w:val="center"/>
        <w:rPr>
          <w:b/>
          <w:bCs/>
          <w:iCs/>
          <w:color w:val="000000"/>
          <w:sz w:val="26"/>
          <w:szCs w:val="26"/>
        </w:rPr>
      </w:pPr>
      <w:r>
        <w:rPr>
          <w:b/>
          <w:bCs/>
          <w:iCs/>
          <w:color w:val="000000"/>
          <w:sz w:val="26"/>
          <w:szCs w:val="26"/>
        </w:rPr>
      </w:r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784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623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О внесении изменений в решение Совета депутатов Новооскольского муниципального округа Белгородской области от 29 апреля 2025 года </w:t>
              <w:br/>
              <w:t xml:space="preserve">№ 363</w:t>
            </w:r>
            <w:r>
              <w:rPr>
                <w:b/>
                <w:bCs/>
                <w:iCs/>
                <w:color w:val="000000"/>
                <w:sz w:val="26"/>
                <w:szCs w:val="26"/>
              </w:rPr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784" w:type="dxa"/>
            <w:vAlign w:val="top"/>
            <w:textDirection w:val="lrTb"/>
            <w:noWrap w:val="false"/>
          </w:tcPr>
          <w:p>
            <w:pPr>
              <w:pStyle w:val="623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</w:r>
            <w:r/>
          </w:p>
        </w:tc>
      </w:tr>
    </w:tbl>
    <w:p>
      <w:pPr>
        <w:pStyle w:val="6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pStyle w:val="6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pStyle w:val="623"/>
        <w:ind w:firstLine="709"/>
        <w:jc w:val="both"/>
        <w:shd w:val="clear" w:fill="FFFFFF" w:color="auto"/>
        <w:rPr>
          <w:b/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В соответствии с Федеральным законом от 12 января 1995 года № 5-ФЗ </w:t>
      </w:r>
      <w:r>
        <w:rPr>
          <w:sz w:val="26"/>
          <w:szCs w:val="28"/>
          <w:lang w:eastAsia="zh-CN"/>
        </w:rPr>
        <w:t xml:space="preserve">         </w:t>
      </w:r>
      <w:r>
        <w:rPr>
          <w:sz w:val="26"/>
          <w:szCs w:val="28"/>
          <w:lang w:eastAsia="zh-CN"/>
        </w:rPr>
        <w:t xml:space="preserve">«О ветеранах», Федеральным законом от 6 октября 2003 года № 131-ФЗ «Об общих принципах организации местного самоуправления в Российской Федерации», руководствуясь Уставом Новооскольского муниципального округа, </w:t>
      </w:r>
      <w:r>
        <w:rPr>
          <w:b/>
          <w:sz w:val="26"/>
          <w:szCs w:val="28"/>
          <w:lang w:eastAsia="zh-CN"/>
        </w:rPr>
        <w:t xml:space="preserve">Совет депутатов Новооскольского муниципального округа Белгородской области р е ш и л:</w:t>
      </w:r>
      <w:r/>
    </w:p>
    <w:p>
      <w:pPr>
        <w:pStyle w:val="623"/>
        <w:ind w:firstLine="708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1. Внести в решение Совета депутатов Новооскольского муниципального округа от 29 апреля 2025 года № 363 «Об утверждении Порядка предоставления ежегодной выплаты ветеранам боевых действий, постоянно проживающим </w:t>
      </w:r>
      <w:r>
        <w:rPr>
          <w:sz w:val="26"/>
          <w:szCs w:val="28"/>
          <w:lang w:eastAsia="zh-CN"/>
        </w:rPr>
        <w:t xml:space="preserve">                </w:t>
      </w:r>
      <w:r>
        <w:rPr>
          <w:sz w:val="26"/>
          <w:szCs w:val="28"/>
          <w:lang w:eastAsia="zh-CN"/>
        </w:rPr>
        <w:t xml:space="preserve">на территории Новооскольского муниципального округа Белгородской области» следующие изменения:</w:t>
      </w:r>
      <w:r/>
    </w:p>
    <w:p>
      <w:pPr>
        <w:pStyle w:val="623"/>
        <w:numPr>
          <w:ilvl w:val="1"/>
          <w:numId w:val="6"/>
        </w:numPr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П</w:t>
      </w:r>
      <w:r>
        <w:rPr>
          <w:sz w:val="26"/>
          <w:szCs w:val="28"/>
          <w:lang w:eastAsia="zh-CN"/>
        </w:rPr>
        <w:t xml:space="preserve">ункт 2.1 Порядка изложить в следующей редакции:</w:t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«</w:t>
      </w:r>
      <w:r>
        <w:rPr>
          <w:sz w:val="26"/>
          <w:szCs w:val="28"/>
          <w:lang w:eastAsia="zh-CN"/>
        </w:rPr>
        <w:t xml:space="preserve">2.1. </w:t>
      </w:r>
      <w:r>
        <w:rPr>
          <w:sz w:val="26"/>
          <w:szCs w:val="28"/>
          <w:lang w:eastAsia="zh-CN"/>
        </w:rPr>
        <w:t xml:space="preserve">Заявление о предоставлении ежегодной денежной выплаты подается:</w:t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- в Управление на бумажном носителе посредством личного обращения или представителем заявителя (приложение № 1 к Порядку);</w:t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- через многофункциональный центр предоставления государственных </w:t>
      </w:r>
      <w:r>
        <w:rPr>
          <w:sz w:val="26"/>
          <w:szCs w:val="28"/>
          <w:lang w:eastAsia="zh-CN"/>
        </w:rPr>
        <w:t xml:space="preserve">           </w:t>
      </w:r>
      <w:r>
        <w:rPr>
          <w:sz w:val="26"/>
          <w:szCs w:val="28"/>
          <w:lang w:eastAsia="zh-CN"/>
        </w:rPr>
        <w:t xml:space="preserve">   </w:t>
      </w:r>
      <w:r>
        <w:rPr>
          <w:sz w:val="26"/>
          <w:szCs w:val="28"/>
          <w:lang w:eastAsia="zh-CN"/>
        </w:rPr>
        <w:t xml:space="preserve">и муниципальных усл</w:t>
      </w:r>
      <w:r>
        <w:rPr>
          <w:sz w:val="26"/>
          <w:szCs w:val="28"/>
          <w:lang w:eastAsia="zh-CN"/>
        </w:rPr>
        <w:t xml:space="preserve">уг (с момента подписания соглашения о взаимодействии между государственным автономным учреждением Белгородской области «Многофункциональный центр предоставления государственных и муниципальных услуг» и Администрацией Новооскольского муниципального округа);</w:t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- в электронном виде с использованием федеральной государственной информационной системы «Единый портал государственных и муниципальных услуг» (с момента реализации на ЕПГУ).</w:t>
      </w:r>
      <w:r>
        <w:rPr>
          <w:sz w:val="26"/>
          <w:szCs w:val="28"/>
          <w:lang w:eastAsia="zh-CN"/>
        </w:rPr>
        <w:t xml:space="preserve">».</w:t>
      </w:r>
      <w:r>
        <w:rPr>
          <w:sz w:val="26"/>
          <w:szCs w:val="28"/>
          <w:lang w:eastAsia="zh-CN"/>
        </w:rPr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2. </w:t>
      </w:r>
      <w:r>
        <w:rPr>
          <w:sz w:val="26"/>
          <w:szCs w:val="28"/>
          <w:lang w:eastAsia="zh-CN"/>
        </w:rPr>
        <w:t xml:space="preserve">Настоящее решение опублик</w:t>
      </w:r>
      <w:r>
        <w:rPr>
          <w:sz w:val="26"/>
          <w:szCs w:val="28"/>
          <w:lang w:eastAsia="zh-CN"/>
        </w:rPr>
        <w:t xml:space="preserve">овать в сетевом издании «Вперёд </w:t>
      </w:r>
      <w:r>
        <w:rPr>
          <w:sz w:val="26"/>
          <w:szCs w:val="28"/>
          <w:lang w:eastAsia="zh-CN"/>
        </w:rPr>
        <w:t xml:space="preserve">Новооскольская газета» (no-vpered.ru) и разместить на официальном сайте органов местного самоуправления Новооскольского муниципального округа </w:t>
      </w:r>
      <w:r>
        <w:rPr>
          <w:sz w:val="26"/>
          <w:szCs w:val="28"/>
          <w:lang w:eastAsia="zh-CN"/>
        </w:rPr>
        <w:t xml:space="preserve">                    </w:t>
      </w:r>
      <w:r>
        <w:rPr>
          <w:sz w:val="26"/>
          <w:szCs w:val="28"/>
          <w:lang w:eastAsia="zh-CN"/>
        </w:rPr>
        <w:t xml:space="preserve">(novyjoskol-r31.gosweb.gosuslugi.ru) в информационно-телекоммуникационной сети «Интернет».</w:t>
      </w:r>
      <w:r>
        <w:rPr>
          <w:sz w:val="26"/>
          <w:szCs w:val="28"/>
          <w:lang w:eastAsia="zh-CN"/>
        </w:rPr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3. </w:t>
      </w:r>
      <w:r>
        <w:rPr>
          <w:sz w:val="26"/>
          <w:szCs w:val="28"/>
          <w:lang w:eastAsia="zh-CN"/>
        </w:rPr>
        <w:t xml:space="preserve">Настоящее решение вступает в силу </w:t>
      </w:r>
      <w:r>
        <w:rPr>
          <w:sz w:val="26"/>
          <w:szCs w:val="28"/>
          <w:lang w:eastAsia="zh-CN"/>
        </w:rPr>
        <w:t xml:space="preserve">после дня </w:t>
      </w:r>
      <w:r>
        <w:rPr>
          <w:sz w:val="26"/>
          <w:szCs w:val="28"/>
          <w:lang w:eastAsia="zh-CN"/>
        </w:rPr>
        <w:t xml:space="preserve">его официально</w:t>
      </w:r>
      <w:r>
        <w:rPr>
          <w:sz w:val="26"/>
          <w:szCs w:val="28"/>
          <w:lang w:eastAsia="zh-CN"/>
        </w:rPr>
        <w:t xml:space="preserve">го</w:t>
      </w:r>
      <w:r>
        <w:rPr>
          <w:sz w:val="26"/>
          <w:szCs w:val="28"/>
          <w:lang w:eastAsia="zh-CN"/>
        </w:rPr>
        <w:t xml:space="preserve"> </w:t>
      </w:r>
      <w:r>
        <w:rPr>
          <w:sz w:val="26"/>
          <w:szCs w:val="28"/>
          <w:lang w:eastAsia="zh-CN"/>
        </w:rPr>
        <w:t xml:space="preserve">опубликования</w:t>
      </w:r>
      <w:r>
        <w:rPr>
          <w:sz w:val="26"/>
          <w:szCs w:val="28"/>
          <w:lang w:eastAsia="zh-CN"/>
        </w:rPr>
        <w:t xml:space="preserve">. </w:t>
      </w:r>
      <w:r/>
    </w:p>
    <w:p>
      <w:pPr>
        <w:pStyle w:val="623"/>
        <w:ind w:firstLine="709"/>
        <w:jc w:val="both"/>
        <w:rPr>
          <w:sz w:val="26"/>
          <w:szCs w:val="28"/>
          <w:lang w:eastAsia="zh-CN"/>
        </w:rPr>
      </w:pPr>
      <w:r>
        <w:rPr>
          <w:sz w:val="26"/>
          <w:szCs w:val="28"/>
          <w:lang w:eastAsia="zh-CN"/>
        </w:rPr>
        <w:t xml:space="preserve">4</w:t>
      </w:r>
      <w:r>
        <w:rPr>
          <w:sz w:val="26"/>
          <w:szCs w:val="28"/>
          <w:lang w:eastAsia="zh-CN"/>
        </w:rPr>
        <w:t xml:space="preserve">. Контроль за исполнением настоящего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нормативно-правовой деятельности </w:t>
      </w:r>
      <w:r>
        <w:rPr>
          <w:sz w:val="26"/>
          <w:szCs w:val="28"/>
          <w:lang w:eastAsia="zh-CN"/>
        </w:rPr>
        <w:t xml:space="preserve">                </w:t>
      </w:r>
      <w:r>
        <w:rPr>
          <w:sz w:val="26"/>
          <w:szCs w:val="28"/>
          <w:lang w:eastAsia="zh-CN"/>
        </w:rPr>
        <w:t xml:space="preserve">и общественному правопорядку (Локтионов А.С.).</w:t>
      </w:r>
      <w:r/>
    </w:p>
    <w:p>
      <w:pPr>
        <w:pStyle w:val="6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pStyle w:val="6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>
        <w:rPr>
          <w:color w:val="000000"/>
          <w:sz w:val="26"/>
          <w:szCs w:val="26"/>
        </w:rPr>
      </w:r>
    </w:p>
    <w:p>
      <w:pPr>
        <w:pStyle w:val="62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637"/>
        <w:gridCol w:w="4252"/>
      </w:tblGrid>
      <w:tr>
        <w:trPr/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5637" w:type="dxa"/>
            <w:vAlign w:val="bottom"/>
            <w:textDirection w:val="lrTb"/>
            <w:noWrap w:val="false"/>
          </w:tcPr>
          <w:p>
            <w:pPr>
              <w:pStyle w:val="623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Председатель Совета депутатов Новооскольского </w:t>
            </w:r>
            <w:r>
              <w:rPr>
                <w:b/>
                <w:color w:val="000000"/>
                <w:sz w:val="26"/>
                <w:szCs w:val="26"/>
              </w:rPr>
              <w:t xml:space="preserve">муниципальн</w:t>
            </w:r>
            <w:r>
              <w:rPr>
                <w:b/>
                <w:color w:val="000000"/>
                <w:sz w:val="26"/>
                <w:szCs w:val="26"/>
              </w:rPr>
              <w:t xml:space="preserve">ого округа</w:t>
            </w:r>
            <w:r/>
          </w:p>
        </w:tc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252" w:type="dxa"/>
            <w:vAlign w:val="bottom"/>
            <w:textDirection w:val="lrTb"/>
            <w:noWrap w:val="false"/>
          </w:tcPr>
          <w:p>
            <w:pPr>
              <w:pStyle w:val="623"/>
              <w:jc w:val="right"/>
              <w:widowControl w:val="off"/>
              <w:rPr>
                <w:b/>
                <w:bCs/>
                <w:iCs/>
                <w:color w:val="000000"/>
                <w:sz w:val="26"/>
                <w:szCs w:val="26"/>
              </w:rPr>
            </w:pPr>
            <w:r>
              <w:rPr>
                <w:b/>
                <w:bCs/>
                <w:iCs/>
                <w:color w:val="000000"/>
                <w:sz w:val="26"/>
                <w:szCs w:val="26"/>
              </w:rPr>
              <w:t xml:space="preserve">А.И. Попова</w:t>
            </w:r>
            <w:r/>
          </w:p>
        </w:tc>
      </w:tr>
    </w:tbl>
    <w:p>
      <w:pPr>
        <w:pStyle w:val="623"/>
        <w:jc w:val="both"/>
        <w:shd w:val="clear" w:fill="FFFFFF" w:color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  <w:r/>
    </w:p>
    <w:p>
      <w:pPr>
        <w:pStyle w:val="623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/>
    </w:p>
    <w:p>
      <w:pPr>
        <w:pStyle w:val="62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pStyle w:val="623"/>
        <w:ind w:left="4956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993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3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3"/>
      </w:pPr>
    </w:lvl>
    <w:lvl w:ilvl="1">
      <w:start w:val="1"/>
      <w:numFmt w:val="decimal"/>
      <w:isLgl w:val="false"/>
      <w:suff w:val="tab"/>
      <w:lvlText w:val="%1.%2."/>
      <w:lvlJc w:val="left"/>
      <w:pPr>
        <w:pStyle w:val="623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3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3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3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3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3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3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3"/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3"/>
        <w:ind w:left="720" w:hanging="360"/>
      </w:pPr>
      <w:rPr>
        <w:b w:val="false"/>
      </w:rPr>
    </w:lvl>
    <w:lvl w:ilvl="1">
      <w:start w:val="1"/>
      <w:numFmt w:val="lowerLetter"/>
      <w:isLgl w:val="false"/>
      <w:suff w:val="tab"/>
      <w:lvlText w:val="%2."/>
      <w:lvlJc w:val="left"/>
      <w:pPr>
        <w:pStyle w:val="623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3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3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3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3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3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3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3"/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23"/>
        <w:ind w:left="1065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623"/>
        <w:ind w:left="1425" w:hanging="720"/>
      </w:pPr>
      <w:rPr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623"/>
        <w:ind w:left="1425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623"/>
        <w:ind w:left="178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623"/>
        <w:ind w:left="178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623"/>
        <w:ind w:left="214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623"/>
        <w:ind w:left="2505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623"/>
        <w:ind w:left="250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623"/>
        <w:ind w:left="2865" w:hanging="2160"/>
      </w:pPr>
    </w:lvl>
  </w:abstractNum>
  <w:abstractNum w:abstractNumId="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pStyle w:val="623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23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23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23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23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23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23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23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23"/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623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23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23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23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23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23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23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23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23"/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623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623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623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23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623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623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23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623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623"/>
        <w:ind w:left="6480" w:hanging="180"/>
        <w:tabs>
          <w:tab w:val="num" w:pos="6480" w:leader="none"/>
        </w:tabs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8"/>
    <w:next w:val="8"/>
    <w:uiPriority w:val="99"/>
    <w:unhideWhenUsed/>
    <w:pPr>
      <w:spacing w:after="0" w:afterAutospacing="0"/>
    </w:pPr>
  </w:style>
  <w:style w:type="paragraph" w:styleId="623">
    <w:name w:val="Обычный"/>
    <w:next w:val="623"/>
    <w:link w:val="623"/>
    <w:rPr>
      <w:sz w:val="24"/>
      <w:szCs w:val="24"/>
      <w:lang w:val="ru-RU" w:bidi="ar-SA" w:eastAsia="ru-RU"/>
    </w:rPr>
  </w:style>
  <w:style w:type="character" w:styleId="624">
    <w:name w:val="Основной шрифт абзаца"/>
    <w:next w:val="624"/>
    <w:link w:val="623"/>
    <w:semiHidden/>
  </w:style>
  <w:style w:type="table" w:styleId="625">
    <w:name w:val="Обычная таблица"/>
    <w:next w:val="625"/>
    <w:link w:val="623"/>
    <w:semiHidden/>
    <w:tblPr/>
  </w:style>
  <w:style w:type="numbering" w:styleId="626">
    <w:name w:val="Нет списка"/>
    <w:next w:val="626"/>
    <w:link w:val="623"/>
    <w:semiHidden/>
  </w:style>
  <w:style w:type="paragraph" w:styleId="627">
    <w:name w:val="ConsPlusTitle"/>
    <w:next w:val="627"/>
    <w:link w:val="623"/>
    <w:rPr>
      <w:b/>
      <w:bCs/>
      <w:sz w:val="24"/>
      <w:szCs w:val="24"/>
      <w:lang w:val="ru-RU" w:bidi="ar-SA" w:eastAsia="ru-RU"/>
    </w:rPr>
    <w:pPr>
      <w:widowControl w:val="off"/>
    </w:pPr>
  </w:style>
  <w:style w:type="character" w:styleId="628">
    <w:name w:val="Гипертекстовая ссылка"/>
    <w:next w:val="628"/>
    <w:link w:val="623"/>
    <w:rPr>
      <w:rFonts w:ascii="Times New Roman" w:hAnsi="Times New Roman"/>
      <w:color w:val="106BBE"/>
    </w:rPr>
  </w:style>
  <w:style w:type="character" w:styleId="629">
    <w:name w:val="Гиперссылка"/>
    <w:next w:val="629"/>
    <w:link w:val="623"/>
    <w:rPr>
      <w:color w:val="0000FF"/>
      <w:u w:val="single"/>
    </w:rPr>
  </w:style>
  <w:style w:type="paragraph" w:styleId="630">
    <w:name w:val="ConsPlusNormal"/>
    <w:next w:val="630"/>
    <w:link w:val="623"/>
    <w:rPr>
      <w:rFonts w:ascii="Arial" w:hAnsi="Arial"/>
      <w:sz w:val="22"/>
      <w:szCs w:val="22"/>
      <w:lang w:val="ru-RU" w:bidi="ar-SA" w:eastAsia="ru-RU"/>
    </w:rPr>
    <w:pPr>
      <w:widowControl w:val="off"/>
    </w:pPr>
  </w:style>
  <w:style w:type="paragraph" w:styleId="631">
    <w:name w:val="Верхний колонтитул"/>
    <w:basedOn w:val="623"/>
    <w:next w:val="631"/>
    <w:link w:val="632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632">
    <w:name w:val="Верхний колонтитул Знак"/>
    <w:next w:val="632"/>
    <w:link w:val="631"/>
    <w:rPr>
      <w:sz w:val="24"/>
      <w:szCs w:val="24"/>
    </w:rPr>
  </w:style>
  <w:style w:type="paragraph" w:styleId="633">
    <w:name w:val="Нижний колонтитул"/>
    <w:basedOn w:val="623"/>
    <w:next w:val="633"/>
    <w:link w:val="634"/>
    <w:rPr>
      <w:lang w:val="en-US" w:eastAsia="en-US"/>
    </w:rPr>
    <w:pPr>
      <w:tabs>
        <w:tab w:val="center" w:pos="4677" w:leader="none"/>
        <w:tab w:val="right" w:pos="9355" w:leader="none"/>
      </w:tabs>
    </w:pPr>
  </w:style>
  <w:style w:type="character" w:styleId="634">
    <w:name w:val="Нижний колонтитул Знак"/>
    <w:next w:val="634"/>
    <w:link w:val="633"/>
    <w:rPr>
      <w:sz w:val="24"/>
      <w:szCs w:val="24"/>
    </w:rPr>
  </w:style>
  <w:style w:type="paragraph" w:styleId="635">
    <w:name w:val="Текст выноски"/>
    <w:basedOn w:val="623"/>
    <w:next w:val="635"/>
    <w:link w:val="636"/>
    <w:rPr>
      <w:rFonts w:ascii="Segoe UI" w:hAnsi="Segoe UI"/>
      <w:sz w:val="18"/>
      <w:szCs w:val="18"/>
      <w:lang w:val="en-US" w:eastAsia="en-US"/>
    </w:rPr>
  </w:style>
  <w:style w:type="character" w:styleId="636">
    <w:name w:val="Текст выноски Знак"/>
    <w:next w:val="636"/>
    <w:link w:val="635"/>
    <w:rPr>
      <w:rFonts w:ascii="Segoe UI" w:hAnsi="Segoe UI"/>
      <w:sz w:val="18"/>
      <w:szCs w:val="18"/>
    </w:rPr>
  </w:style>
  <w:style w:type="paragraph" w:styleId="637">
    <w:name w:val="s_1"/>
    <w:basedOn w:val="623"/>
    <w:next w:val="637"/>
    <w:link w:val="623"/>
    <w:pPr>
      <w:spacing w:after="100" w:afterAutospacing="1" w:before="100" w:beforeAutospacing="1"/>
    </w:pPr>
  </w:style>
  <w:style w:type="table" w:styleId="638">
    <w:name w:val="Сетка таблицы"/>
    <w:basedOn w:val="625"/>
    <w:next w:val="638"/>
    <w:link w:val="623"/>
    <w:tblPr/>
  </w:style>
  <w:style w:type="character" w:styleId="977" w:default="1">
    <w:name w:val="Default Paragraph Font"/>
    <w:uiPriority w:val="1"/>
    <w:semiHidden/>
    <w:unhideWhenUsed/>
  </w:style>
  <w:style w:type="numbering" w:styleId="978" w:default="1">
    <w:name w:val="No List"/>
    <w:uiPriority w:val="99"/>
    <w:semiHidden/>
    <w:unhideWhenUsed/>
  </w:style>
  <w:style w:type="paragraph" w:styleId="979" w:default="1">
    <w:name w:val="Normal"/>
    <w:qFormat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2026-05-26T10:15:20Z</dcterms:modified>
</cp:coreProperties>
</file>